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7A" w:rsidRDefault="00034E7A" w:rsidP="00034E7A">
      <w:pPr>
        <w:widowControl/>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附件1：</w:t>
      </w:r>
    </w:p>
    <w:p w:rsidR="00034E7A" w:rsidRPr="00191EBA" w:rsidRDefault="00034E7A" w:rsidP="00034E7A">
      <w:pPr>
        <w:widowControl/>
        <w:jc w:val="center"/>
        <w:rPr>
          <w:rFonts w:ascii="方正小标宋简体" w:eastAsia="方正小标宋简体" w:hAnsi="黑体" w:cs="宋体"/>
          <w:bCs/>
          <w:color w:val="000000"/>
          <w:kern w:val="0"/>
          <w:sz w:val="32"/>
          <w:szCs w:val="32"/>
        </w:rPr>
      </w:pPr>
      <w:r w:rsidRPr="00191EBA">
        <w:rPr>
          <w:rFonts w:ascii="方正小标宋简体" w:eastAsia="方正小标宋简体" w:hAnsi="黑体" w:hint="eastAsia"/>
          <w:sz w:val="32"/>
          <w:szCs w:val="32"/>
        </w:rPr>
        <w:t>西安文理学院2015年教育教学改革项目立项名单</w:t>
      </w:r>
    </w:p>
    <w:tbl>
      <w:tblPr>
        <w:tblpPr w:leftFromText="180" w:rightFromText="180" w:vertAnchor="page" w:horzAnchor="margin" w:tblpXSpec="center" w:tblpY="3001"/>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2"/>
        <w:gridCol w:w="1404"/>
        <w:gridCol w:w="3006"/>
        <w:gridCol w:w="864"/>
        <w:gridCol w:w="2520"/>
        <w:gridCol w:w="756"/>
      </w:tblGrid>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序号</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项目编码</w:t>
            </w:r>
          </w:p>
        </w:tc>
        <w:tc>
          <w:tcPr>
            <w:tcW w:w="300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项目名称</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项目</w:t>
            </w:r>
          </w:p>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主持人</w:t>
            </w:r>
          </w:p>
        </w:tc>
        <w:tc>
          <w:tcPr>
            <w:tcW w:w="2520"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项目组成员</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资助金额</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JG2015A001</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转型条件下应用心理学专业实践性核心课程群建设的实践与创新研究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李景华</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hint="eastAsia"/>
                <w:kern w:val="0"/>
                <w:szCs w:val="21"/>
              </w:rPr>
              <w:t>向华、郝雁丽、苏小路</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JG2015A002</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高校思想政治理论课</w:t>
            </w:r>
          </w:p>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教学艺术化研究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赵精兵</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王舵、向华、魏娟辉、</w:t>
            </w:r>
          </w:p>
          <w:p w:rsidR="00034E7A" w:rsidRDefault="00034E7A" w:rsidP="00A86749">
            <w:pPr>
              <w:widowControl/>
              <w:spacing w:line="240" w:lineRule="atLeast"/>
              <w:rPr>
                <w:rFonts w:ascii="宋体" w:hAnsi="宋体" w:cs="宋体"/>
                <w:bCs/>
                <w:kern w:val="0"/>
                <w:szCs w:val="21"/>
              </w:rPr>
            </w:pPr>
            <w:r>
              <w:rPr>
                <w:rFonts w:ascii="宋体" w:hAnsi="宋体" w:hint="eastAsia"/>
                <w:kern w:val="0"/>
                <w:szCs w:val="21"/>
              </w:rPr>
              <w:t>周桂英、冯婷</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JG2015A003</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项目化教学对我校人才培养模式变革的需求——数媒专业实践教学体系建设中的问题与解决方案研究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李翔</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hint="eastAsia"/>
                <w:kern w:val="0"/>
                <w:szCs w:val="21"/>
              </w:rPr>
              <w:t>东瑞、康凯、李晨、冯鹏</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JG2015A004</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中美合作办学模式下应用型人才培养模式改革的研究与实践---以市场营销专业为例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田园</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王晓萍、刘鸿明、魏奇、苏霞、李雪苑、王盾、</w:t>
            </w:r>
          </w:p>
          <w:p w:rsidR="00034E7A" w:rsidRDefault="00034E7A" w:rsidP="00A86749">
            <w:pPr>
              <w:widowControl/>
              <w:spacing w:line="240" w:lineRule="atLeast"/>
              <w:rPr>
                <w:rFonts w:ascii="宋体" w:hAnsi="宋体" w:cs="宋体"/>
                <w:bCs/>
                <w:kern w:val="0"/>
                <w:szCs w:val="21"/>
              </w:rPr>
            </w:pPr>
            <w:r>
              <w:rPr>
                <w:rFonts w:ascii="宋体" w:hAnsi="宋体" w:hint="eastAsia"/>
                <w:kern w:val="0"/>
                <w:szCs w:val="21"/>
              </w:rPr>
              <w:t>潘雨相</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JG2015A005</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实现我校硕士学位授权突破的实践探索</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王光</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hint="eastAsia"/>
                <w:kern w:val="0"/>
                <w:szCs w:val="21"/>
              </w:rPr>
              <w:t>佟志华、朱芳芳、李小红</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6</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JG2015A006</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应用型质量保障体系与质量标准建设实践与研究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郝延军</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hint="eastAsia"/>
                <w:kern w:val="0"/>
                <w:szCs w:val="21"/>
              </w:rPr>
              <w:t>高寅生、唐健君、王军强、李蕾</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7</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JG2015A007</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新建本科院校公共艺术教育课程群研究与实践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杨帆</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cs="宋体" w:hint="eastAsia"/>
                <w:bCs/>
                <w:kern w:val="0"/>
                <w:szCs w:val="21"/>
              </w:rPr>
              <w:t>田军、郭牧、何蔚、高娟、马永明</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8</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JG2015A008</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应用技术型大学专业及人才培养体系研究与实践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韦炜</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cs="宋体" w:hint="eastAsia"/>
                <w:bCs/>
                <w:kern w:val="0"/>
                <w:szCs w:val="21"/>
              </w:rPr>
              <w:t>徐东升、李金平、宋新涛、杨琨、高婷婷</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9</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JG2015A009</w:t>
            </w:r>
          </w:p>
        </w:tc>
        <w:tc>
          <w:tcPr>
            <w:tcW w:w="3006" w:type="dxa"/>
            <w:vAlign w:val="center"/>
          </w:tcPr>
          <w:p w:rsidR="00034E7A" w:rsidRPr="000B3F1A" w:rsidRDefault="00034E7A" w:rsidP="00A86749">
            <w:pPr>
              <w:widowControl/>
              <w:spacing w:line="400" w:lineRule="exact"/>
              <w:jc w:val="left"/>
              <w:rPr>
                <w:rFonts w:ascii="宋体" w:hAnsi="宋体" w:cs="宋体"/>
                <w:bCs/>
                <w:kern w:val="0"/>
                <w:szCs w:val="21"/>
              </w:rPr>
            </w:pPr>
            <w:r w:rsidRPr="000B3F1A">
              <w:rPr>
                <w:rFonts w:ascii="宋体" w:hAnsi="宋体" w:cs="宋体" w:hint="eastAsia"/>
                <w:bCs/>
                <w:kern w:val="0"/>
                <w:szCs w:val="21"/>
              </w:rPr>
              <w:t>应用型高校物联网工程专业产学研一体化立体式教学模式改革研究</w:t>
            </w:r>
          </w:p>
        </w:tc>
        <w:tc>
          <w:tcPr>
            <w:tcW w:w="864" w:type="dxa"/>
            <w:vAlign w:val="center"/>
          </w:tcPr>
          <w:p w:rsidR="00034E7A" w:rsidRPr="000B3F1A" w:rsidRDefault="00034E7A" w:rsidP="00A86749">
            <w:pPr>
              <w:widowControl/>
              <w:spacing w:line="560" w:lineRule="exact"/>
              <w:jc w:val="center"/>
              <w:rPr>
                <w:rFonts w:ascii="宋体" w:hAnsi="宋体" w:cs="宋体"/>
                <w:bCs/>
                <w:kern w:val="0"/>
                <w:szCs w:val="21"/>
              </w:rPr>
            </w:pPr>
            <w:r w:rsidRPr="000B3F1A">
              <w:rPr>
                <w:rFonts w:ascii="宋体" w:hAnsi="宋体" w:cs="宋体" w:hint="eastAsia"/>
                <w:bCs/>
                <w:kern w:val="0"/>
                <w:szCs w:val="21"/>
              </w:rPr>
              <w:t>李浩</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cs="宋体" w:hint="eastAsia"/>
                <w:bCs/>
                <w:kern w:val="0"/>
                <w:szCs w:val="21"/>
              </w:rPr>
              <w:t>高寅生、李向军、李立、吴燕妮</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10</w:t>
            </w:r>
          </w:p>
        </w:tc>
        <w:tc>
          <w:tcPr>
            <w:tcW w:w="140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JG2015A010</w:t>
            </w:r>
          </w:p>
        </w:tc>
        <w:tc>
          <w:tcPr>
            <w:tcW w:w="3006" w:type="dxa"/>
            <w:vAlign w:val="center"/>
          </w:tcPr>
          <w:p w:rsidR="00034E7A" w:rsidRPr="000B3F1A" w:rsidRDefault="00034E7A" w:rsidP="00A86749">
            <w:pPr>
              <w:widowControl/>
              <w:spacing w:line="400" w:lineRule="exact"/>
              <w:jc w:val="left"/>
              <w:rPr>
                <w:rFonts w:ascii="宋体" w:hAnsi="宋体" w:cs="宋体"/>
                <w:bCs/>
                <w:kern w:val="0"/>
                <w:szCs w:val="21"/>
              </w:rPr>
            </w:pPr>
            <w:r w:rsidRPr="000B3F1A">
              <w:rPr>
                <w:rFonts w:ascii="宋体" w:hAnsi="宋体" w:cs="宋体" w:hint="eastAsia"/>
                <w:bCs/>
                <w:kern w:val="0"/>
                <w:szCs w:val="21"/>
              </w:rPr>
              <w:t>以工程教育专业认证为导向，构建应用型机械专业人才培养体系</w:t>
            </w:r>
          </w:p>
        </w:tc>
        <w:tc>
          <w:tcPr>
            <w:tcW w:w="864" w:type="dxa"/>
            <w:vAlign w:val="center"/>
          </w:tcPr>
          <w:p w:rsidR="00034E7A" w:rsidRPr="000B3F1A" w:rsidRDefault="00034E7A" w:rsidP="00A86749">
            <w:pPr>
              <w:widowControl/>
              <w:spacing w:line="560" w:lineRule="exact"/>
              <w:jc w:val="center"/>
              <w:rPr>
                <w:rFonts w:ascii="宋体" w:hAnsi="宋体" w:cs="宋体"/>
                <w:bCs/>
                <w:kern w:val="0"/>
                <w:szCs w:val="21"/>
              </w:rPr>
            </w:pPr>
            <w:r w:rsidRPr="000B3F1A">
              <w:rPr>
                <w:rFonts w:ascii="宋体" w:hAnsi="宋体" w:cs="宋体" w:hint="eastAsia"/>
                <w:bCs/>
                <w:kern w:val="0"/>
                <w:szCs w:val="21"/>
              </w:rPr>
              <w:t>张艳丽</w:t>
            </w:r>
          </w:p>
        </w:tc>
        <w:tc>
          <w:tcPr>
            <w:tcW w:w="2520" w:type="dxa"/>
            <w:vAlign w:val="center"/>
          </w:tcPr>
          <w:p w:rsidR="00034E7A" w:rsidRDefault="00034E7A" w:rsidP="00A86749">
            <w:pPr>
              <w:widowControl/>
              <w:spacing w:line="240" w:lineRule="atLeast"/>
              <w:rPr>
                <w:rFonts w:ascii="宋体" w:hAnsi="宋体" w:cs="宋体"/>
                <w:bCs/>
                <w:kern w:val="0"/>
                <w:szCs w:val="21"/>
              </w:rPr>
            </w:pPr>
            <w:r>
              <w:rPr>
                <w:rFonts w:ascii="宋体" w:hAnsi="宋体" w:cs="宋体" w:hint="eastAsia"/>
                <w:bCs/>
                <w:kern w:val="0"/>
                <w:szCs w:val="21"/>
              </w:rPr>
              <w:t>韦炜、边培莹、周毓明、何斌峰</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11</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JG2015B001</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基于微课的混合式教学模式的研究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李会功</w:t>
            </w:r>
          </w:p>
        </w:tc>
        <w:tc>
          <w:tcPr>
            <w:tcW w:w="2520" w:type="dxa"/>
            <w:vAlign w:val="center"/>
          </w:tcPr>
          <w:p w:rsidR="00034E7A" w:rsidRDefault="00034E7A" w:rsidP="00A86749">
            <w:pPr>
              <w:spacing w:line="240" w:lineRule="atLeast"/>
              <w:rPr>
                <w:rFonts w:ascii="宋体" w:hAnsi="宋体" w:cs="宋体"/>
                <w:szCs w:val="21"/>
              </w:rPr>
            </w:pPr>
            <w:r>
              <w:rPr>
                <w:rFonts w:ascii="宋体" w:hAnsi="宋体" w:cs="宋体" w:hint="eastAsia"/>
                <w:bCs/>
                <w:kern w:val="0"/>
                <w:szCs w:val="21"/>
              </w:rPr>
              <w:t>刘迎接、雷巧娟、武瑛、周宝红、王国强</w:t>
            </w:r>
          </w:p>
        </w:tc>
        <w:tc>
          <w:tcPr>
            <w:tcW w:w="756"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12</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JG2015B002</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高校人文通识课程的优化策略——以大学语文为例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杨晓慧</w:t>
            </w:r>
          </w:p>
        </w:tc>
        <w:tc>
          <w:tcPr>
            <w:tcW w:w="2520" w:type="dxa"/>
            <w:vAlign w:val="center"/>
          </w:tcPr>
          <w:p w:rsidR="00034E7A" w:rsidRDefault="00034E7A" w:rsidP="00A86749">
            <w:pPr>
              <w:spacing w:line="240" w:lineRule="atLeast"/>
              <w:rPr>
                <w:rFonts w:ascii="宋体" w:hAnsi="宋体"/>
                <w:szCs w:val="21"/>
              </w:rPr>
            </w:pPr>
            <w:r>
              <w:rPr>
                <w:rFonts w:ascii="宋体" w:hAnsi="宋体" w:hint="eastAsia"/>
                <w:szCs w:val="21"/>
              </w:rPr>
              <w:t>秦岭、徐芳、李志瑾、</w:t>
            </w:r>
          </w:p>
          <w:p w:rsidR="00034E7A" w:rsidRDefault="00034E7A" w:rsidP="00A86749">
            <w:pPr>
              <w:spacing w:line="240" w:lineRule="atLeast"/>
              <w:rPr>
                <w:rFonts w:ascii="宋体" w:hAnsi="宋体" w:cs="宋体"/>
                <w:bCs/>
                <w:kern w:val="0"/>
                <w:szCs w:val="21"/>
              </w:rPr>
            </w:pPr>
            <w:r>
              <w:rPr>
                <w:rFonts w:ascii="宋体" w:hAnsi="宋体" w:hint="eastAsia"/>
                <w:szCs w:val="21"/>
              </w:rPr>
              <w:t>李小成</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13</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JG2015B003</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大学本科纪检监察专业人才培养模式研究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李敏</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周桂英、陈勇、李瑞星、彭雪君、钱晓萍</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14</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JG2015B004</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小学教育专业微课资源建设的探索与实践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曹建玲</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国小华、李晶、黄玲侠、李会功</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15</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JG2015B005</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2015级本科人才培养方案总体设计及研究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宋新涛</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徐东升、韦炜、李金平、高婷婷</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lastRenderedPageBreak/>
              <w:t>16</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JG2015B006</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转型发展背景下地方院校小学教育专业 培养方案修订的新思路</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高慧</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曹莹、寇磊、李晶、黄玲侠、国晓华</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17</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JG2015B007</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面向应用型创新人才培养的 《机械设计》</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刘凌</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余历军、戴君、周毓明、田浩、李国柱、吕印庄、张艳丽、边培莹、焦艳梅</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18</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JG2015B008</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应用技术型大学计算机 公共课教学改革探究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张岗亭</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韩利凯、罗雅过、朱曦、李莉</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19</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JG2015B009</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以MOOCS为契机实现优质教育资源共享研究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同勤学</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赵建勋、胡明、田娜</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20</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JG2015B010</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基于教学基本状态数据库的数据分析及应用</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王军强</w:t>
            </w:r>
          </w:p>
        </w:tc>
        <w:tc>
          <w:tcPr>
            <w:tcW w:w="2520" w:type="dxa"/>
            <w:vAlign w:val="center"/>
          </w:tcPr>
          <w:p w:rsidR="00034E7A" w:rsidRDefault="00034E7A" w:rsidP="00A86749">
            <w:pPr>
              <w:spacing w:line="240" w:lineRule="atLeast"/>
              <w:rPr>
                <w:rFonts w:ascii="宋体" w:hAnsi="宋体"/>
                <w:kern w:val="0"/>
                <w:szCs w:val="21"/>
              </w:rPr>
            </w:pPr>
            <w:r>
              <w:rPr>
                <w:rFonts w:ascii="宋体" w:hAnsi="宋体" w:hint="eastAsia"/>
                <w:kern w:val="0"/>
                <w:szCs w:val="21"/>
              </w:rPr>
              <w:t>李蕾、李巧玲、姚娜、</w:t>
            </w:r>
          </w:p>
          <w:p w:rsidR="00034E7A" w:rsidRDefault="00034E7A" w:rsidP="00A86749">
            <w:pPr>
              <w:spacing w:line="240" w:lineRule="atLeast"/>
              <w:rPr>
                <w:rFonts w:ascii="宋体" w:hAnsi="宋体" w:cs="宋体"/>
                <w:bCs/>
                <w:kern w:val="0"/>
                <w:szCs w:val="21"/>
              </w:rPr>
            </w:pPr>
            <w:r>
              <w:rPr>
                <w:rFonts w:ascii="宋体" w:hAnsi="宋体" w:hint="eastAsia"/>
                <w:kern w:val="0"/>
                <w:szCs w:val="21"/>
              </w:rPr>
              <w:t>范铮</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21</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JG2015B011</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工商管理重点专业毕业论文管理模式转型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田富强</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刘鸿明、徐寄鸿、董冠华、胡明</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22</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JG2015B012</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我院视觉传达设计专业本科毕业设计教学模式改革探索与实践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黄婷</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邹满星、翁安华、杨珍、巩珊珊、杜妍</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23</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JG2015B013</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广告策划方向的专业能力培养研究——以项目教学法为主的教学探索</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张星</w:t>
            </w:r>
          </w:p>
        </w:tc>
        <w:tc>
          <w:tcPr>
            <w:tcW w:w="2520" w:type="dxa"/>
            <w:vAlign w:val="center"/>
          </w:tcPr>
          <w:p w:rsidR="00034E7A" w:rsidRDefault="00034E7A" w:rsidP="00A86749">
            <w:pPr>
              <w:spacing w:line="240" w:lineRule="atLeast"/>
              <w:rPr>
                <w:rFonts w:ascii="宋体" w:hAnsi="宋体" w:cs="宋体"/>
                <w:bCs/>
                <w:kern w:val="0"/>
                <w:szCs w:val="21"/>
              </w:rPr>
            </w:pPr>
            <w:r>
              <w:rPr>
                <w:rFonts w:hint="eastAsia"/>
                <w:kern w:val="0"/>
                <w:szCs w:val="21"/>
              </w:rPr>
              <w:t>闵敏、</w:t>
            </w:r>
            <w:r>
              <w:rPr>
                <w:kern w:val="0"/>
                <w:szCs w:val="21"/>
              </w:rPr>
              <w:t>李曜良、王静、</w:t>
            </w:r>
            <w:r>
              <w:rPr>
                <w:rFonts w:hint="eastAsia"/>
                <w:kern w:val="0"/>
                <w:szCs w:val="21"/>
              </w:rPr>
              <w:t>郑玲玲</w:t>
            </w:r>
            <w:r>
              <w:rPr>
                <w:kern w:val="0"/>
                <w:szCs w:val="21"/>
              </w:rPr>
              <w:t>、高劼</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24</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JG2015B014</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以职业能力为导向构建汉语国际教育专业实践教学体系——为《现代汉语》课程为研究对象</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秦岭</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袁梅、高峰、张凡、张悦</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25</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JG2015B015</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产学研用、校企协同人才培养模式研究与实践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张宁彬</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高寅生、马修海、李明</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26</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JG2015B016</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基于慕课的大学英语课程翻转教学探索与实践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李征娅</w:t>
            </w:r>
          </w:p>
        </w:tc>
        <w:tc>
          <w:tcPr>
            <w:tcW w:w="2520" w:type="dxa"/>
            <w:vAlign w:val="center"/>
          </w:tcPr>
          <w:p w:rsidR="00034E7A" w:rsidRDefault="00034E7A" w:rsidP="00A86749">
            <w:pPr>
              <w:spacing w:line="240" w:lineRule="atLeast"/>
              <w:rPr>
                <w:szCs w:val="21"/>
              </w:rPr>
            </w:pPr>
            <w:r>
              <w:rPr>
                <w:rFonts w:hint="eastAsia"/>
                <w:szCs w:val="21"/>
              </w:rPr>
              <w:t>何可可、王瑞、李赟、</w:t>
            </w:r>
          </w:p>
          <w:p w:rsidR="00034E7A" w:rsidRDefault="00034E7A" w:rsidP="00A86749">
            <w:pPr>
              <w:spacing w:line="240" w:lineRule="atLeast"/>
              <w:rPr>
                <w:rFonts w:ascii="宋体" w:hAnsi="宋体" w:cs="宋体"/>
                <w:szCs w:val="21"/>
              </w:rPr>
            </w:pPr>
            <w:r>
              <w:rPr>
                <w:rFonts w:hint="eastAsia"/>
                <w:szCs w:val="21"/>
              </w:rPr>
              <w:t>张东霞、杜蓉、杨红梅</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27</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JG2015B017</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《旅行社经营与管理》课程教学体系创新型研究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杨瑞</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王静、崔林</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28</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JG2015B018</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教师资格考试国考背景下教师教育类课程资源整合研究--以幼儿园教师资格证书为例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路娟</w:t>
            </w:r>
          </w:p>
        </w:tc>
        <w:tc>
          <w:tcPr>
            <w:tcW w:w="2520" w:type="dxa"/>
            <w:vAlign w:val="center"/>
          </w:tcPr>
          <w:p w:rsidR="00034E7A" w:rsidRDefault="00034E7A" w:rsidP="00A86749">
            <w:pPr>
              <w:spacing w:line="240" w:lineRule="atLeast"/>
              <w:rPr>
                <w:szCs w:val="21"/>
              </w:rPr>
            </w:pPr>
            <w:r>
              <w:rPr>
                <w:rFonts w:hint="eastAsia"/>
                <w:szCs w:val="21"/>
              </w:rPr>
              <w:t>蔡军、杨蓓、赵四鸿、</w:t>
            </w:r>
          </w:p>
          <w:p w:rsidR="00034E7A" w:rsidRDefault="00034E7A" w:rsidP="00A86749">
            <w:pPr>
              <w:spacing w:line="240" w:lineRule="atLeast"/>
              <w:rPr>
                <w:rFonts w:ascii="宋体" w:hAnsi="宋体" w:cs="宋体"/>
                <w:szCs w:val="21"/>
              </w:rPr>
            </w:pPr>
            <w:r>
              <w:rPr>
                <w:rFonts w:hint="eastAsia"/>
                <w:szCs w:val="21"/>
              </w:rPr>
              <w:t>宋静</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29</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JG2015B019</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基于职业性与师范性的我校学前教育专业体育课程改革研究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费薇娜</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王志强、査毅、闫道明、徐佳、陈东久</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30</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JG2015B020</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与培养方向相契合的应用化学专业综合化学实验的构建与实践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宋瑞娟</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杨晓慧、宋立美、屈颖娟、王留昌、马明阳、焦宝娟李小军、韩敏</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31</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JG2015B021</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音乐学专业应用型人才培养模式改革的研究与实践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王娟</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贺林林、杨艺媛、田明、牛育谦、陈萌</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32</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JG2015B022</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提升课堂教学效果的路径——以概率统计课程为例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闫成海</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 xml:space="preserve">杨渭清、王宇、周建锋 </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33</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JG2015B023</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音乐史论课程教学模式的改革研究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贺林林</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杨艺媛、程长宁、王娟、郭瑞玺、田明</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lastRenderedPageBreak/>
              <w:t>34</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JG2015B024</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以能力为导向的实践教学体系构建——以“师范小讲堂”系列新课为例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王爽</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张军学、袁卫敏、李昉、邵力</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35</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JG2015B025</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应用型本科院校第二课堂实践教学培养体系研究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杨琨</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李冬梅、韦炜、赵金亮、高婷婷</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36</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JG2015B026</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“互联网+”时代广告专业教学模式改革问题——以广告专业实践课为例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郑玲玲</w:t>
            </w:r>
          </w:p>
        </w:tc>
        <w:tc>
          <w:tcPr>
            <w:tcW w:w="2520" w:type="dxa"/>
            <w:vAlign w:val="center"/>
          </w:tcPr>
          <w:p w:rsidR="00034E7A" w:rsidRDefault="00034E7A" w:rsidP="00A86749">
            <w:pPr>
              <w:spacing w:line="240" w:lineRule="atLeast"/>
              <w:rPr>
                <w:kern w:val="0"/>
                <w:szCs w:val="21"/>
              </w:rPr>
            </w:pPr>
            <w:r>
              <w:rPr>
                <w:kern w:val="0"/>
                <w:szCs w:val="21"/>
              </w:rPr>
              <w:t>李曜良、孙静、王静、</w:t>
            </w:r>
          </w:p>
          <w:p w:rsidR="00034E7A" w:rsidRDefault="00034E7A" w:rsidP="00A86749">
            <w:pPr>
              <w:spacing w:line="240" w:lineRule="atLeast"/>
              <w:rPr>
                <w:rFonts w:ascii="宋体" w:hAnsi="宋体" w:cs="宋体"/>
                <w:bCs/>
                <w:kern w:val="0"/>
                <w:szCs w:val="21"/>
              </w:rPr>
            </w:pPr>
            <w:r>
              <w:rPr>
                <w:kern w:val="0"/>
                <w:szCs w:val="21"/>
              </w:rPr>
              <w:t>张星、高劼</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37</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JG2015B027</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转型发展时期我校教学工作量计算方法改革实践研究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王安娜</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杨艺媛、苗洁、张小旭、任芮瑶</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38</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JG2015B028</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高校辅导员在校园危机事件中的应对能力研究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李建</w:t>
            </w:r>
          </w:p>
        </w:tc>
        <w:tc>
          <w:tcPr>
            <w:tcW w:w="2520" w:type="dxa"/>
            <w:vAlign w:val="center"/>
          </w:tcPr>
          <w:p w:rsidR="00034E7A" w:rsidRDefault="00034E7A" w:rsidP="00A86749">
            <w:pPr>
              <w:widowControl/>
              <w:spacing w:line="240" w:lineRule="atLeast"/>
              <w:rPr>
                <w:kern w:val="0"/>
                <w:szCs w:val="21"/>
              </w:rPr>
            </w:pPr>
            <w:r>
              <w:rPr>
                <w:rFonts w:hint="eastAsia"/>
                <w:kern w:val="0"/>
                <w:szCs w:val="21"/>
              </w:rPr>
              <w:t>袁卫敏、秦玮、李小勇、郝念青</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39</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JG2015B029</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大数据时代提升高校思政课教育实效性路径研究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贺文华</w:t>
            </w:r>
          </w:p>
        </w:tc>
        <w:tc>
          <w:tcPr>
            <w:tcW w:w="2520" w:type="dxa"/>
            <w:vAlign w:val="center"/>
          </w:tcPr>
          <w:p w:rsidR="00034E7A" w:rsidRDefault="00034E7A" w:rsidP="00A86749">
            <w:pPr>
              <w:spacing w:line="240" w:lineRule="atLeast"/>
              <w:rPr>
                <w:rFonts w:ascii="宋体" w:hAnsi="宋体"/>
                <w:kern w:val="0"/>
                <w:szCs w:val="21"/>
              </w:rPr>
            </w:pPr>
            <w:r>
              <w:rPr>
                <w:rFonts w:ascii="宋体" w:hAnsi="宋体" w:hint="eastAsia"/>
                <w:kern w:val="0"/>
                <w:szCs w:val="21"/>
              </w:rPr>
              <w:t>孟英、李敏、钱晓萍、</w:t>
            </w:r>
          </w:p>
          <w:p w:rsidR="00034E7A" w:rsidRDefault="00034E7A" w:rsidP="00A86749">
            <w:pPr>
              <w:spacing w:line="240" w:lineRule="atLeast"/>
              <w:rPr>
                <w:rFonts w:ascii="宋体" w:hAnsi="宋体" w:cs="宋体"/>
                <w:bCs/>
                <w:kern w:val="0"/>
                <w:szCs w:val="21"/>
              </w:rPr>
            </w:pPr>
            <w:r>
              <w:rPr>
                <w:rFonts w:ascii="宋体" w:hAnsi="宋体" w:hint="eastAsia"/>
                <w:kern w:val="0"/>
                <w:szCs w:val="21"/>
              </w:rPr>
              <w:t>舒荣、王舵、申晓玲</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40</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JG2015B030</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后印刷时代下的广告专业课程内容改革问题——以书籍装帧课程为例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王静</w:t>
            </w:r>
          </w:p>
        </w:tc>
        <w:tc>
          <w:tcPr>
            <w:tcW w:w="2520" w:type="dxa"/>
            <w:vAlign w:val="center"/>
          </w:tcPr>
          <w:p w:rsidR="00034E7A" w:rsidRDefault="00034E7A" w:rsidP="00A86749">
            <w:pPr>
              <w:spacing w:line="240" w:lineRule="atLeast"/>
              <w:rPr>
                <w:kern w:val="0"/>
                <w:szCs w:val="21"/>
              </w:rPr>
            </w:pPr>
            <w:r>
              <w:rPr>
                <w:rFonts w:hint="eastAsia"/>
                <w:kern w:val="0"/>
                <w:szCs w:val="21"/>
              </w:rPr>
              <w:t>张星、郑玲玲、闵敏、</w:t>
            </w:r>
          </w:p>
          <w:p w:rsidR="00034E7A" w:rsidRDefault="00034E7A" w:rsidP="00A86749">
            <w:pPr>
              <w:spacing w:line="240" w:lineRule="atLeast"/>
              <w:rPr>
                <w:rFonts w:ascii="宋体" w:hAnsi="宋体" w:cs="宋体"/>
                <w:bCs/>
                <w:kern w:val="0"/>
                <w:szCs w:val="21"/>
              </w:rPr>
            </w:pPr>
            <w:r>
              <w:rPr>
                <w:rFonts w:hint="eastAsia"/>
                <w:kern w:val="0"/>
                <w:szCs w:val="21"/>
              </w:rPr>
              <w:t>李曜良、高劼</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41</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JG2015B031</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转型期我院日语专业应用型人才培养模式的探讨与实践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邹维</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王华、高睿、铁曼、张颖、燕青</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42</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JG2015B032</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应用型本科高校大学英语课程体系建设的转型探索——从EGP到ESP的连续体模型构建</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褚亮</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杨红梅、李征娅、麻秦华、程晨</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43</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JG2015B033</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应用型本科院校课程考核制度改革研究与实践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冯鹏</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范铮、聂静斯、李金平、张倩</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44</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JG2015B034</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基于微项目的英语专业教育实习模式创新研究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赵娟</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崔建斌、杨红梅、赵娜、张秀芝、白民军、曹琪雯</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45</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JG2015B035</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产学研用、校企协同人才培养模式研究与实践——以汉城湖实践平台及“陶艺成型”课程为例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王霞</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涂俊、蔡沙、刘小飞、</w:t>
            </w:r>
          </w:p>
          <w:p w:rsidR="00034E7A" w:rsidRDefault="00034E7A" w:rsidP="00A86749">
            <w:pPr>
              <w:widowControl/>
              <w:spacing w:line="240" w:lineRule="atLeast"/>
              <w:rPr>
                <w:rFonts w:ascii="宋体" w:hAnsi="宋体"/>
                <w:kern w:val="0"/>
                <w:szCs w:val="21"/>
              </w:rPr>
            </w:pPr>
            <w:r>
              <w:rPr>
                <w:rFonts w:ascii="宋体" w:hAnsi="宋体" w:hint="eastAsia"/>
                <w:kern w:val="0"/>
                <w:szCs w:val="21"/>
              </w:rPr>
              <w:t>孟娟</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46</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JG2015B036</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应用型本科院校英语专业本科人才培养模式的研究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赵娜</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崔建斌、杨红梅、任素珍、褚亮、赵娟</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47</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JG2015B037</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基于工程应用能力培养的化工化工设计课程群的构建与实践研究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李学坤</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孙平、周跃花、石奇、范磊刚、方振华、薛敏</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48</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JG2015B038</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以能力为导向的数学类课程实践教学体系的构建(以数学建模课程为例)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张力宁</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许迅雷、张岩、闫成海、陈欣</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49</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JG2015B039</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面向专业应用的嵌入式系统教学改革的探索研究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魏坤</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刘渭清、刘密歌、李立、杨森林</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50</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JG2015B040</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以能力为导向的机械专业实践教学体系的构建</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边培莹</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戴君、韦炜、余历军、张艳丽、周毓明、何斌锋、刘凌、焦艳梅</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lastRenderedPageBreak/>
              <w:t>51</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JG2015B041</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基于《中学教师专业标准（试行）》的化学专业课程目标及教学模式改革（以无机化学及基础化学实验课程为例）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苏毅严</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段淑娥、翟云会、屈颖娟、 吴雪梅、晏志军、王转莉</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52</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JG2015B042</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基于MATLAB的尝试教学法在光学教学中的应用与探索研究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赵小侠</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王红英、成桢、贺俊芳、李院院</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53</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JG2015B043</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环境生态工程、园艺专业课程教学模式改革问题（--以景观生态学、生态休闲农业课程为例）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常瑾</w:t>
            </w:r>
          </w:p>
        </w:tc>
        <w:tc>
          <w:tcPr>
            <w:tcW w:w="2520" w:type="dxa"/>
            <w:vAlign w:val="center"/>
          </w:tcPr>
          <w:p w:rsidR="00034E7A" w:rsidRDefault="00034E7A" w:rsidP="00A86749">
            <w:pPr>
              <w:spacing w:line="240" w:lineRule="atLeast"/>
              <w:rPr>
                <w:szCs w:val="21"/>
              </w:rPr>
            </w:pPr>
            <w:r>
              <w:rPr>
                <w:rFonts w:hint="eastAsia"/>
                <w:szCs w:val="21"/>
              </w:rPr>
              <w:t>鲍峰、郭成圆、徐薇、</w:t>
            </w:r>
          </w:p>
          <w:p w:rsidR="00034E7A" w:rsidRDefault="00034E7A" w:rsidP="00A86749">
            <w:pPr>
              <w:spacing w:line="240" w:lineRule="atLeast"/>
              <w:rPr>
                <w:rFonts w:ascii="宋体" w:hAnsi="宋体" w:cs="宋体"/>
                <w:szCs w:val="21"/>
              </w:rPr>
            </w:pPr>
            <w:r>
              <w:rPr>
                <w:rFonts w:hint="eastAsia"/>
                <w:szCs w:val="21"/>
              </w:rPr>
              <w:t>尹春丽</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54</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JG2015B044</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以就业为导向的心理学人才培养模式研究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苏小路</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hint="eastAsia"/>
                <w:kern w:val="0"/>
                <w:szCs w:val="21"/>
              </w:rPr>
              <w:t>郝雁丽、向华、吴国强</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55</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JG2015B045</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生物科学专业课程教学模式改革问题（--以生物科学仪器分析课程为例）</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丁群英</w:t>
            </w:r>
          </w:p>
        </w:tc>
        <w:tc>
          <w:tcPr>
            <w:tcW w:w="2520" w:type="dxa"/>
            <w:vAlign w:val="center"/>
          </w:tcPr>
          <w:p w:rsidR="00034E7A" w:rsidRDefault="00034E7A" w:rsidP="00A86749">
            <w:pPr>
              <w:spacing w:line="240" w:lineRule="atLeast"/>
              <w:rPr>
                <w:rFonts w:ascii="宋体" w:hAnsi="宋体" w:cs="宋体"/>
                <w:szCs w:val="21"/>
              </w:rPr>
            </w:pPr>
            <w:r>
              <w:rPr>
                <w:rFonts w:hint="eastAsia"/>
                <w:szCs w:val="21"/>
              </w:rPr>
              <w:t>赵咏梅、方刚、郭新军、冯航</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56</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JG2015B046</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我校学籍管理在学分制管理制度中的试点研究与实践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李瑞星</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李金平、李蕾、朱芳芳、冯喆</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57</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JG2015B047</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慕课在电子课程中的研究与实践</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范璟</w:t>
            </w:r>
          </w:p>
        </w:tc>
        <w:tc>
          <w:tcPr>
            <w:tcW w:w="2520" w:type="dxa"/>
            <w:vAlign w:val="center"/>
          </w:tcPr>
          <w:p w:rsidR="00034E7A" w:rsidRDefault="00034E7A" w:rsidP="00A86749">
            <w:pPr>
              <w:widowControl/>
              <w:spacing w:line="240" w:lineRule="atLeast"/>
              <w:rPr>
                <w:rFonts w:ascii="宋体" w:hAnsi="宋体"/>
                <w:kern w:val="0"/>
                <w:szCs w:val="21"/>
              </w:rPr>
            </w:pPr>
            <w:r>
              <w:rPr>
                <w:rFonts w:ascii="宋体" w:hAnsi="宋体" w:hint="eastAsia"/>
                <w:kern w:val="0"/>
                <w:szCs w:val="21"/>
              </w:rPr>
              <w:t>张伟、李国柱、王爽、</w:t>
            </w:r>
          </w:p>
          <w:p w:rsidR="00034E7A" w:rsidRDefault="00034E7A" w:rsidP="00A86749">
            <w:pPr>
              <w:widowControl/>
              <w:spacing w:line="240" w:lineRule="atLeast"/>
              <w:rPr>
                <w:rFonts w:ascii="宋体" w:hAnsi="宋体"/>
                <w:kern w:val="0"/>
                <w:szCs w:val="21"/>
              </w:rPr>
            </w:pPr>
            <w:r>
              <w:rPr>
                <w:rFonts w:ascii="宋体" w:hAnsi="宋体" w:hint="eastAsia"/>
                <w:kern w:val="0"/>
                <w:szCs w:val="21"/>
              </w:rPr>
              <w:t>韩冬、孙静</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58</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JG2015B048</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西安文理学院教学工作激励办法研究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杨振华</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徐东升、宋新涛、范铮、谷林娜</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59</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JG2015B049</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西安文理学院教研经费管理办法研究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韩璐</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周小娟、白世萍、韦炜、王婷婷</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r w:rsidR="00034E7A" w:rsidTr="00A86749">
        <w:trPr>
          <w:trHeight w:val="522"/>
        </w:trPr>
        <w:tc>
          <w:tcPr>
            <w:tcW w:w="602"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60</w:t>
            </w:r>
          </w:p>
        </w:tc>
        <w:tc>
          <w:tcPr>
            <w:tcW w:w="1404"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JG2015B050</w:t>
            </w:r>
          </w:p>
        </w:tc>
        <w:tc>
          <w:tcPr>
            <w:tcW w:w="3006" w:type="dxa"/>
            <w:vAlign w:val="center"/>
          </w:tcPr>
          <w:p w:rsidR="00034E7A" w:rsidRDefault="00034E7A" w:rsidP="00A86749">
            <w:pPr>
              <w:widowControl/>
              <w:spacing w:line="240" w:lineRule="atLeast"/>
              <w:jc w:val="left"/>
              <w:rPr>
                <w:rFonts w:ascii="宋体" w:hAnsi="宋体" w:cs="宋体"/>
                <w:bCs/>
                <w:kern w:val="0"/>
                <w:szCs w:val="21"/>
              </w:rPr>
            </w:pPr>
            <w:r>
              <w:rPr>
                <w:rFonts w:ascii="宋体" w:hAnsi="宋体" w:cs="宋体" w:hint="eastAsia"/>
                <w:bCs/>
                <w:kern w:val="0"/>
                <w:szCs w:val="21"/>
              </w:rPr>
              <w:t>基于全实践理念下学前教育专业“实训”模式研究</w:t>
            </w:r>
          </w:p>
        </w:tc>
        <w:tc>
          <w:tcPr>
            <w:tcW w:w="864" w:type="dxa"/>
            <w:vAlign w:val="center"/>
          </w:tcPr>
          <w:p w:rsidR="00034E7A" w:rsidRDefault="00034E7A" w:rsidP="00A86749">
            <w:pPr>
              <w:widowControl/>
              <w:spacing w:line="240" w:lineRule="atLeast"/>
              <w:jc w:val="center"/>
              <w:rPr>
                <w:rFonts w:ascii="宋体" w:hAnsi="宋体" w:cs="宋体"/>
                <w:bCs/>
                <w:kern w:val="0"/>
                <w:szCs w:val="21"/>
              </w:rPr>
            </w:pPr>
            <w:r>
              <w:rPr>
                <w:rFonts w:ascii="宋体" w:hAnsi="宋体" w:cs="宋体" w:hint="eastAsia"/>
                <w:bCs/>
                <w:kern w:val="0"/>
                <w:szCs w:val="21"/>
              </w:rPr>
              <w:t>王晓翌</w:t>
            </w:r>
          </w:p>
        </w:tc>
        <w:tc>
          <w:tcPr>
            <w:tcW w:w="2520" w:type="dxa"/>
            <w:vAlign w:val="center"/>
          </w:tcPr>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蔡军、杨蓓、郭惠玉、</w:t>
            </w:r>
          </w:p>
          <w:p w:rsidR="00034E7A" w:rsidRDefault="00034E7A" w:rsidP="00A86749">
            <w:pPr>
              <w:spacing w:line="240" w:lineRule="atLeast"/>
              <w:rPr>
                <w:rFonts w:ascii="宋体" w:hAnsi="宋体" w:cs="宋体"/>
                <w:bCs/>
                <w:kern w:val="0"/>
                <w:szCs w:val="21"/>
              </w:rPr>
            </w:pPr>
            <w:r>
              <w:rPr>
                <w:rFonts w:ascii="宋体" w:hAnsi="宋体" w:cs="宋体" w:hint="eastAsia"/>
                <w:bCs/>
                <w:kern w:val="0"/>
                <w:szCs w:val="21"/>
              </w:rPr>
              <w:t>许军娥、贺琳</w:t>
            </w:r>
          </w:p>
        </w:tc>
        <w:tc>
          <w:tcPr>
            <w:tcW w:w="756" w:type="dxa"/>
            <w:vAlign w:val="center"/>
          </w:tcPr>
          <w:p w:rsidR="00034E7A" w:rsidRDefault="00034E7A" w:rsidP="00A86749">
            <w:pPr>
              <w:spacing w:line="240" w:lineRule="atLeast"/>
              <w:jc w:val="center"/>
              <w:rPr>
                <w:rFonts w:ascii="宋体" w:hAnsi="宋体" w:cs="宋体"/>
                <w:bCs/>
                <w:kern w:val="0"/>
                <w:szCs w:val="21"/>
              </w:rPr>
            </w:pPr>
            <w:r>
              <w:rPr>
                <w:rFonts w:ascii="宋体" w:hAnsi="宋体" w:cs="宋体" w:hint="eastAsia"/>
                <w:bCs/>
                <w:kern w:val="0"/>
                <w:szCs w:val="21"/>
              </w:rPr>
              <w:t>1万</w:t>
            </w:r>
          </w:p>
        </w:tc>
      </w:tr>
    </w:tbl>
    <w:p w:rsidR="00034E7A" w:rsidRDefault="00034E7A" w:rsidP="00034E7A">
      <w:pPr>
        <w:widowControl/>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rPr>
          <w:rFonts w:ascii="黑体" w:eastAsia="黑体" w:hAnsi="黑体" w:cs="宋体" w:hint="eastAsia"/>
          <w:bCs/>
          <w:color w:val="000000"/>
          <w:kern w:val="0"/>
          <w:sz w:val="32"/>
          <w:szCs w:val="32"/>
        </w:rPr>
      </w:pPr>
    </w:p>
    <w:p w:rsidR="00034E7A" w:rsidRPr="00F13265" w:rsidRDefault="00034E7A" w:rsidP="00034E7A">
      <w:pPr>
        <w:spacing w:line="220" w:lineRule="atLeast"/>
        <w:rPr>
          <w:rFonts w:ascii="方正小标宋简体" w:eastAsia="方正小标宋简体" w:hAnsi="宋体"/>
          <w:sz w:val="36"/>
          <w:szCs w:val="36"/>
        </w:rPr>
      </w:pPr>
      <w:r w:rsidRPr="00F13265">
        <w:rPr>
          <w:rFonts w:ascii="方正小标宋简体" w:eastAsia="方正小标宋简体" w:hAnsi="宋体" w:hint="eastAsia"/>
          <w:sz w:val="36"/>
          <w:szCs w:val="36"/>
        </w:rPr>
        <w:lastRenderedPageBreak/>
        <w:t>西安文理学院2015年度</w:t>
      </w:r>
      <w:r w:rsidRPr="00F13265">
        <w:rPr>
          <w:rFonts w:ascii="方正小标宋简体" w:eastAsia="方正小标宋简体" w:hint="eastAsia"/>
          <w:sz w:val="36"/>
          <w:szCs w:val="36"/>
        </w:rPr>
        <w:t>课程综合改革项目</w:t>
      </w:r>
      <w:r w:rsidRPr="00F13265">
        <w:rPr>
          <w:rFonts w:ascii="方正小标宋简体" w:eastAsia="方正小标宋简体" w:hAnsi="宋体" w:hint="eastAsia"/>
          <w:sz w:val="36"/>
          <w:szCs w:val="36"/>
        </w:rPr>
        <w:t>立项目录</w:t>
      </w:r>
    </w:p>
    <w:tbl>
      <w:tblPr>
        <w:tblW w:w="81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2192"/>
        <w:gridCol w:w="1772"/>
        <w:gridCol w:w="1485"/>
        <w:gridCol w:w="1422"/>
      </w:tblGrid>
      <w:tr w:rsidR="00034E7A" w:rsidRPr="00B10E08" w:rsidTr="00A86749">
        <w:trPr>
          <w:trHeight w:val="563"/>
        </w:trPr>
        <w:tc>
          <w:tcPr>
            <w:tcW w:w="1296" w:type="dxa"/>
            <w:vAlign w:val="center"/>
          </w:tcPr>
          <w:p w:rsidR="00034E7A" w:rsidRPr="00B10E08" w:rsidRDefault="00034E7A" w:rsidP="00A86749">
            <w:pPr>
              <w:jc w:val="center"/>
              <w:rPr>
                <w:rFonts w:asciiTheme="minorEastAsia" w:eastAsiaTheme="minorEastAsia" w:hAnsiTheme="minorEastAsia" w:cs="宋体"/>
                <w:b/>
                <w:color w:val="000000"/>
                <w:sz w:val="24"/>
                <w:szCs w:val="24"/>
              </w:rPr>
            </w:pPr>
            <w:r>
              <w:rPr>
                <w:rFonts w:asciiTheme="minorEastAsia" w:eastAsiaTheme="minorEastAsia" w:hAnsiTheme="minorEastAsia" w:cs="宋体" w:hint="eastAsia"/>
                <w:b/>
                <w:color w:val="000000"/>
                <w:sz w:val="24"/>
                <w:szCs w:val="24"/>
              </w:rPr>
              <w:t>项目编号</w:t>
            </w:r>
          </w:p>
        </w:tc>
        <w:tc>
          <w:tcPr>
            <w:tcW w:w="2192" w:type="dxa"/>
            <w:shd w:val="clear" w:color="auto" w:fill="auto"/>
            <w:vAlign w:val="center"/>
            <w:hideMark/>
          </w:tcPr>
          <w:p w:rsidR="00034E7A" w:rsidRPr="00B10E08" w:rsidRDefault="00034E7A" w:rsidP="00A86749">
            <w:pPr>
              <w:jc w:val="center"/>
              <w:rPr>
                <w:rFonts w:asciiTheme="minorEastAsia" w:eastAsiaTheme="minorEastAsia" w:hAnsiTheme="minorEastAsia" w:cs="宋体"/>
                <w:b/>
                <w:color w:val="000000"/>
                <w:sz w:val="24"/>
                <w:szCs w:val="24"/>
              </w:rPr>
            </w:pPr>
            <w:r w:rsidRPr="00B10E08">
              <w:rPr>
                <w:rFonts w:asciiTheme="minorEastAsia" w:eastAsiaTheme="minorEastAsia" w:hAnsiTheme="minorEastAsia" w:cs="宋体" w:hint="eastAsia"/>
                <w:b/>
                <w:color w:val="000000"/>
                <w:sz w:val="24"/>
                <w:szCs w:val="24"/>
              </w:rPr>
              <w:t>课程名称</w:t>
            </w:r>
          </w:p>
        </w:tc>
        <w:tc>
          <w:tcPr>
            <w:tcW w:w="1772" w:type="dxa"/>
            <w:shd w:val="clear" w:color="auto" w:fill="auto"/>
            <w:vAlign w:val="center"/>
            <w:hideMark/>
          </w:tcPr>
          <w:p w:rsidR="00034E7A" w:rsidRPr="00B10E08" w:rsidRDefault="00034E7A" w:rsidP="00A86749">
            <w:pPr>
              <w:jc w:val="center"/>
              <w:rPr>
                <w:rFonts w:asciiTheme="minorEastAsia" w:eastAsiaTheme="minorEastAsia" w:hAnsiTheme="minorEastAsia"/>
                <w:b/>
                <w:color w:val="000000"/>
                <w:sz w:val="24"/>
                <w:szCs w:val="24"/>
              </w:rPr>
            </w:pPr>
            <w:r w:rsidRPr="00B10E08">
              <w:rPr>
                <w:rFonts w:asciiTheme="minorEastAsia" w:eastAsiaTheme="minorEastAsia" w:hAnsiTheme="minorEastAsia" w:cs="宋体" w:hint="eastAsia"/>
                <w:b/>
                <w:color w:val="000000"/>
                <w:sz w:val="24"/>
                <w:szCs w:val="24"/>
              </w:rPr>
              <w:t>项目类别</w:t>
            </w:r>
          </w:p>
        </w:tc>
        <w:tc>
          <w:tcPr>
            <w:tcW w:w="1485" w:type="dxa"/>
            <w:shd w:val="clear" w:color="auto" w:fill="auto"/>
            <w:noWrap/>
            <w:vAlign w:val="center"/>
            <w:hideMark/>
          </w:tcPr>
          <w:p w:rsidR="00034E7A" w:rsidRPr="00B10E08" w:rsidRDefault="00034E7A" w:rsidP="00A86749">
            <w:pPr>
              <w:jc w:val="center"/>
              <w:rPr>
                <w:rFonts w:asciiTheme="minorEastAsia" w:eastAsiaTheme="minorEastAsia" w:hAnsiTheme="minorEastAsia" w:cs="宋体"/>
                <w:b/>
                <w:color w:val="000000"/>
                <w:sz w:val="24"/>
                <w:szCs w:val="24"/>
              </w:rPr>
            </w:pPr>
            <w:r w:rsidRPr="00B10E08">
              <w:rPr>
                <w:rFonts w:asciiTheme="minorEastAsia" w:eastAsiaTheme="minorEastAsia" w:hAnsiTheme="minorEastAsia" w:cs="宋体" w:hint="eastAsia"/>
                <w:b/>
                <w:color w:val="000000"/>
                <w:sz w:val="24"/>
                <w:szCs w:val="24"/>
              </w:rPr>
              <w:t>项目负责人</w:t>
            </w:r>
          </w:p>
        </w:tc>
        <w:tc>
          <w:tcPr>
            <w:tcW w:w="1422" w:type="dxa"/>
            <w:vAlign w:val="center"/>
          </w:tcPr>
          <w:p w:rsidR="00034E7A" w:rsidRPr="00B10E08" w:rsidRDefault="00034E7A" w:rsidP="00A86749">
            <w:pPr>
              <w:jc w:val="center"/>
              <w:rPr>
                <w:rFonts w:asciiTheme="minorEastAsia" w:eastAsiaTheme="minorEastAsia" w:hAnsiTheme="minorEastAsia" w:cs="宋体"/>
                <w:b/>
                <w:color w:val="000000"/>
                <w:sz w:val="24"/>
                <w:szCs w:val="24"/>
              </w:rPr>
            </w:pPr>
            <w:r w:rsidRPr="00B10E08">
              <w:rPr>
                <w:rFonts w:asciiTheme="minorEastAsia" w:eastAsiaTheme="minorEastAsia" w:hAnsiTheme="minorEastAsia" w:cs="宋体" w:hint="eastAsia"/>
                <w:b/>
                <w:color w:val="000000"/>
                <w:sz w:val="24"/>
                <w:szCs w:val="24"/>
              </w:rPr>
              <w:t>经费支持</w:t>
            </w:r>
          </w:p>
          <w:p w:rsidR="00034E7A" w:rsidRPr="00B10E08" w:rsidRDefault="00034E7A" w:rsidP="00A86749">
            <w:pPr>
              <w:jc w:val="center"/>
              <w:rPr>
                <w:rFonts w:asciiTheme="minorEastAsia" w:eastAsiaTheme="minorEastAsia" w:hAnsiTheme="minorEastAsia" w:cs="宋体"/>
                <w:b/>
                <w:color w:val="000000"/>
                <w:sz w:val="24"/>
                <w:szCs w:val="24"/>
              </w:rPr>
            </w:pPr>
            <w:r w:rsidRPr="00B10E08">
              <w:rPr>
                <w:rFonts w:asciiTheme="minorEastAsia" w:eastAsiaTheme="minorEastAsia" w:hAnsiTheme="minorEastAsia" w:cs="宋体" w:hint="eastAsia"/>
                <w:b/>
                <w:color w:val="000000"/>
                <w:sz w:val="24"/>
                <w:szCs w:val="24"/>
              </w:rPr>
              <w:t>（万元/年）</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KC2015A01</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工业分析</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olor w:val="000000"/>
                <w:sz w:val="24"/>
                <w:szCs w:val="24"/>
              </w:rPr>
            </w:pPr>
            <w:r w:rsidRPr="00F13265">
              <w:rPr>
                <w:rFonts w:asciiTheme="minorEastAsia" w:eastAsiaTheme="minorEastAsia" w:hAnsiTheme="minorEastAsia"/>
                <w:color w:val="000000"/>
                <w:sz w:val="24"/>
                <w:szCs w:val="24"/>
              </w:rPr>
              <w:t>SPOC</w:t>
            </w:r>
            <w:r w:rsidRPr="00F13265">
              <w:rPr>
                <w:rFonts w:asciiTheme="minorEastAsia" w:eastAsiaTheme="minorEastAsia" w:hAnsiTheme="minorEastAsia" w:hint="eastAsia"/>
                <w:color w:val="000000"/>
                <w:sz w:val="24"/>
                <w:szCs w:val="24"/>
              </w:rPr>
              <w:t>课程</w:t>
            </w:r>
          </w:p>
        </w:tc>
        <w:tc>
          <w:tcPr>
            <w:tcW w:w="1485" w:type="dxa"/>
            <w:shd w:val="clear" w:color="auto" w:fill="auto"/>
            <w:noWrap/>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段淑娥</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KC2015A02</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思想道德修养与法律基础</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olor w:val="000000"/>
                <w:sz w:val="24"/>
                <w:szCs w:val="24"/>
              </w:rPr>
            </w:pPr>
            <w:r w:rsidRPr="00F13265">
              <w:rPr>
                <w:rFonts w:asciiTheme="minorEastAsia" w:eastAsiaTheme="minorEastAsia" w:hAnsiTheme="minorEastAsia"/>
                <w:color w:val="000000"/>
                <w:sz w:val="24"/>
                <w:szCs w:val="24"/>
              </w:rPr>
              <w:t>SPOC</w:t>
            </w:r>
            <w:r w:rsidRPr="00F13265">
              <w:rPr>
                <w:rFonts w:asciiTheme="minorEastAsia" w:eastAsiaTheme="minorEastAsia" w:hAnsiTheme="minorEastAsia" w:hint="eastAsia"/>
                <w:color w:val="000000"/>
                <w:sz w:val="24"/>
                <w:szCs w:val="24"/>
              </w:rPr>
              <w:t>课程</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岳侠</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KC2015A03</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网络营销</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olor w:val="000000"/>
                <w:sz w:val="24"/>
                <w:szCs w:val="24"/>
              </w:rPr>
            </w:pPr>
            <w:r w:rsidRPr="00F13265">
              <w:rPr>
                <w:rFonts w:asciiTheme="minorEastAsia" w:eastAsiaTheme="minorEastAsia" w:hAnsiTheme="minorEastAsia"/>
                <w:color w:val="000000"/>
                <w:sz w:val="24"/>
                <w:szCs w:val="24"/>
              </w:rPr>
              <w:t>SPOC</w:t>
            </w:r>
            <w:r w:rsidRPr="00F13265">
              <w:rPr>
                <w:rFonts w:asciiTheme="minorEastAsia" w:eastAsiaTheme="minorEastAsia" w:hAnsiTheme="minorEastAsia" w:hint="eastAsia"/>
                <w:color w:val="000000"/>
                <w:sz w:val="24"/>
                <w:szCs w:val="24"/>
              </w:rPr>
              <w:t>课程</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胡宏力</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KC2015A04</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计算机网络</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olor w:val="000000"/>
                <w:sz w:val="24"/>
                <w:szCs w:val="24"/>
              </w:rPr>
            </w:pPr>
            <w:r w:rsidRPr="00F13265">
              <w:rPr>
                <w:rFonts w:asciiTheme="minorEastAsia" w:eastAsiaTheme="minorEastAsia" w:hAnsiTheme="minorEastAsia"/>
                <w:color w:val="000000"/>
                <w:sz w:val="24"/>
                <w:szCs w:val="24"/>
              </w:rPr>
              <w:t>SPOC</w:t>
            </w:r>
            <w:r w:rsidRPr="00F13265">
              <w:rPr>
                <w:rFonts w:asciiTheme="minorEastAsia" w:eastAsiaTheme="minorEastAsia" w:hAnsiTheme="minorEastAsia" w:hint="eastAsia"/>
                <w:color w:val="000000"/>
                <w:sz w:val="24"/>
                <w:szCs w:val="24"/>
              </w:rPr>
              <w:t>课程</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雷伟军</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KC2015A05</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数学分析</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olor w:val="000000"/>
                <w:sz w:val="24"/>
                <w:szCs w:val="24"/>
              </w:rPr>
            </w:pPr>
            <w:r w:rsidRPr="00F13265">
              <w:rPr>
                <w:rFonts w:asciiTheme="minorEastAsia" w:eastAsiaTheme="minorEastAsia" w:hAnsiTheme="minorEastAsia"/>
                <w:color w:val="000000"/>
                <w:sz w:val="24"/>
                <w:szCs w:val="24"/>
              </w:rPr>
              <w:t>SPOC</w:t>
            </w:r>
            <w:r w:rsidRPr="00F13265">
              <w:rPr>
                <w:rFonts w:asciiTheme="minorEastAsia" w:eastAsiaTheme="minorEastAsia" w:hAnsiTheme="minorEastAsia" w:hint="eastAsia"/>
                <w:color w:val="000000"/>
                <w:sz w:val="24"/>
                <w:szCs w:val="24"/>
              </w:rPr>
              <w:t>课程</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陈广峰</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2.5</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KC2015B01</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高级语言程序设计</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张岗亭</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KC2015B02</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数值计算方法</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华瑛</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KC2015B03</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专业基础设计</w:t>
            </w:r>
            <w:r w:rsidRPr="00F13265">
              <w:rPr>
                <w:rFonts w:asciiTheme="minorEastAsia" w:eastAsiaTheme="minorEastAsia" w:hAnsiTheme="minorEastAsia"/>
                <w:color w:val="000000"/>
                <w:sz w:val="24"/>
                <w:szCs w:val="24"/>
              </w:rPr>
              <w:t>1</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李翔</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KC2015B04</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设计概论</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吴勘</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KC2015B05</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无机化学</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朱刚</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KC2015B06</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基础化学实验四</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任宏江</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KC2015B07</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英语写作</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鲁晓霞</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KC2015B08</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景观生态学</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鲍锋</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KC2015B09</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声乐</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杨艺媛</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KC2015B10</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中国美术史</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邹满星</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r w:rsidR="00034E7A" w:rsidRPr="00F13265" w:rsidTr="00A86749">
        <w:trPr>
          <w:trHeight w:val="563"/>
        </w:trPr>
        <w:tc>
          <w:tcPr>
            <w:tcW w:w="1296"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KC2015B11</w:t>
            </w:r>
          </w:p>
        </w:tc>
        <w:tc>
          <w:tcPr>
            <w:tcW w:w="219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传感器及应用</w:t>
            </w:r>
          </w:p>
        </w:tc>
        <w:tc>
          <w:tcPr>
            <w:tcW w:w="1772"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课程教学改革</w:t>
            </w:r>
          </w:p>
        </w:tc>
        <w:tc>
          <w:tcPr>
            <w:tcW w:w="1485" w:type="dxa"/>
            <w:shd w:val="clear" w:color="auto" w:fill="auto"/>
            <w:vAlign w:val="center"/>
            <w:hideMark/>
          </w:tcPr>
          <w:p w:rsidR="00034E7A" w:rsidRPr="00F13265" w:rsidRDefault="00034E7A" w:rsidP="00A86749">
            <w:pPr>
              <w:jc w:val="center"/>
              <w:rPr>
                <w:rFonts w:asciiTheme="minorEastAsia" w:eastAsiaTheme="minorEastAsia" w:hAnsiTheme="minorEastAsia" w:cs="宋体"/>
                <w:color w:val="000000"/>
                <w:sz w:val="24"/>
                <w:szCs w:val="24"/>
              </w:rPr>
            </w:pPr>
            <w:r w:rsidRPr="00F13265">
              <w:rPr>
                <w:rFonts w:asciiTheme="minorEastAsia" w:eastAsiaTheme="minorEastAsia" w:hAnsiTheme="minorEastAsia" w:cs="宋体" w:hint="eastAsia"/>
                <w:color w:val="000000"/>
                <w:sz w:val="24"/>
                <w:szCs w:val="24"/>
              </w:rPr>
              <w:t>王军琴</w:t>
            </w:r>
          </w:p>
        </w:tc>
        <w:tc>
          <w:tcPr>
            <w:tcW w:w="1422" w:type="dxa"/>
            <w:vAlign w:val="center"/>
          </w:tcPr>
          <w:p w:rsidR="00034E7A" w:rsidRPr="00F13265" w:rsidRDefault="00034E7A" w:rsidP="00A86749">
            <w:pPr>
              <w:jc w:val="center"/>
              <w:rPr>
                <w:rFonts w:asciiTheme="minorEastAsia" w:eastAsiaTheme="minorEastAsia" w:hAnsiTheme="minorEastAsia" w:cs="宋体"/>
                <w:color w:val="000000"/>
                <w:sz w:val="24"/>
                <w:szCs w:val="24"/>
              </w:rPr>
            </w:pPr>
            <w:r>
              <w:rPr>
                <w:rFonts w:asciiTheme="minorEastAsia" w:eastAsiaTheme="minorEastAsia" w:hAnsiTheme="minorEastAsia" w:cs="宋体" w:hint="eastAsia"/>
                <w:color w:val="000000"/>
                <w:sz w:val="24"/>
                <w:szCs w:val="24"/>
              </w:rPr>
              <w:t>1</w:t>
            </w:r>
          </w:p>
        </w:tc>
      </w:tr>
    </w:tbl>
    <w:p w:rsidR="00034E7A" w:rsidRDefault="00034E7A" w:rsidP="00034E7A">
      <w:pPr>
        <w:widowControl/>
        <w:rPr>
          <w:rFonts w:ascii="黑体" w:eastAsia="黑体" w:hAnsi="黑体" w:cs="宋体" w:hint="eastAsia"/>
          <w:bCs/>
          <w:color w:val="000000"/>
          <w:kern w:val="0"/>
          <w:sz w:val="32"/>
          <w:szCs w:val="32"/>
        </w:rPr>
      </w:pPr>
    </w:p>
    <w:p w:rsidR="00034E7A" w:rsidRDefault="00034E7A" w:rsidP="00034E7A">
      <w:pPr>
        <w:widowControl/>
        <w:rPr>
          <w:rFonts w:ascii="黑体" w:eastAsia="黑体" w:hAnsi="黑体" w:cs="宋体" w:hint="eastAsia"/>
          <w:bCs/>
          <w:color w:val="000000"/>
          <w:kern w:val="0"/>
          <w:sz w:val="32"/>
          <w:szCs w:val="32"/>
        </w:rPr>
      </w:pPr>
    </w:p>
    <w:p w:rsidR="00034E7A" w:rsidRDefault="00034E7A" w:rsidP="00034E7A">
      <w:pPr>
        <w:widowControl/>
        <w:rPr>
          <w:rFonts w:ascii="黑体" w:eastAsia="黑体" w:hAnsi="黑体" w:cs="宋体" w:hint="eastAsia"/>
          <w:bCs/>
          <w:color w:val="000000"/>
          <w:kern w:val="0"/>
          <w:sz w:val="32"/>
          <w:szCs w:val="32"/>
        </w:rPr>
      </w:pPr>
    </w:p>
    <w:p w:rsidR="00034E7A" w:rsidRDefault="00034E7A" w:rsidP="00034E7A">
      <w:pPr>
        <w:widowControl/>
        <w:rPr>
          <w:rFonts w:ascii="黑体" w:eastAsia="黑体" w:hAnsi="黑体" w:cs="宋体"/>
          <w:bCs/>
          <w:color w:val="000000"/>
          <w:kern w:val="0"/>
          <w:sz w:val="32"/>
          <w:szCs w:val="32"/>
        </w:rPr>
      </w:pPr>
    </w:p>
    <w:p w:rsidR="00034E7A" w:rsidRDefault="00034E7A" w:rsidP="00034E7A">
      <w:pPr>
        <w:widowControl/>
        <w:shd w:val="clear" w:color="auto" w:fill="FFFFFF"/>
        <w:snapToGrid w:val="0"/>
        <w:spacing w:afterLines="50" w:line="540" w:lineRule="atLeast"/>
        <w:rPr>
          <w:rFonts w:ascii="黑体" w:eastAsia="黑体" w:hAnsi="黑体" w:cs="宋体" w:hint="eastAsia"/>
          <w:bCs/>
          <w:color w:val="000000"/>
          <w:kern w:val="0"/>
          <w:sz w:val="32"/>
          <w:szCs w:val="32"/>
        </w:rPr>
      </w:pPr>
    </w:p>
    <w:p w:rsidR="00034E7A" w:rsidRPr="00EB715F" w:rsidRDefault="00034E7A" w:rsidP="00034E7A">
      <w:pPr>
        <w:widowControl/>
        <w:shd w:val="clear" w:color="auto" w:fill="FFFFFF"/>
        <w:snapToGrid w:val="0"/>
        <w:spacing w:afterLines="50" w:line="540" w:lineRule="atLeast"/>
        <w:rPr>
          <w:rFonts w:ascii="方正小标宋简体" w:eastAsia="方正小标宋简体" w:hAnsi="仿宋_GB2312" w:cs="宋体"/>
          <w:color w:val="000000"/>
          <w:kern w:val="0"/>
          <w:sz w:val="36"/>
          <w:szCs w:val="36"/>
        </w:rPr>
      </w:pPr>
      <w:r w:rsidRPr="00603F75">
        <w:rPr>
          <w:rFonts w:ascii="方正小标宋简体" w:eastAsia="方正小标宋简体" w:hAnsi="仿宋_GB2312" w:cs="宋体" w:hint="eastAsia"/>
          <w:color w:val="000000"/>
          <w:kern w:val="0"/>
          <w:sz w:val="36"/>
          <w:szCs w:val="36"/>
        </w:rPr>
        <w:lastRenderedPageBreak/>
        <w:t>西安文理学院2015年校级精品教材培育项目立项</w:t>
      </w:r>
    </w:p>
    <w:tbl>
      <w:tblPr>
        <w:tblW w:w="8640" w:type="dxa"/>
        <w:tblInd w:w="-72" w:type="dxa"/>
        <w:tblBorders>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4500"/>
        <w:gridCol w:w="3060"/>
      </w:tblGrid>
      <w:tr w:rsidR="00034E7A" w:rsidRPr="008129D5" w:rsidTr="00A86749">
        <w:trPr>
          <w:trHeight w:val="935"/>
        </w:trPr>
        <w:tc>
          <w:tcPr>
            <w:tcW w:w="1080" w:type="dxa"/>
            <w:tcBorders>
              <w:top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序号</w:t>
            </w:r>
          </w:p>
        </w:tc>
        <w:tc>
          <w:tcPr>
            <w:tcW w:w="4500" w:type="dxa"/>
            <w:tcBorders>
              <w:top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项目名称</w:t>
            </w:r>
          </w:p>
        </w:tc>
        <w:tc>
          <w:tcPr>
            <w:tcW w:w="3060" w:type="dxa"/>
            <w:tcBorders>
              <w:top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项目主持人姓名</w:t>
            </w:r>
          </w:p>
        </w:tc>
      </w:tr>
      <w:tr w:rsidR="00034E7A" w:rsidRPr="008129D5" w:rsidTr="00A86749">
        <w:trPr>
          <w:trHeight w:val="585"/>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数据结构</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韩利凯</w:t>
            </w:r>
          </w:p>
        </w:tc>
      </w:tr>
      <w:tr w:rsidR="00034E7A" w:rsidRPr="008129D5" w:rsidTr="00A86749">
        <w:trPr>
          <w:trHeight w:val="585"/>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2</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化工仿真与化工设计</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李学坤</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3</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陶艺基础</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蔡沙</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4</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大学物理实验</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李姝丽</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5</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化工基础实验</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孙平</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6</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仪器分析实验</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马明阳</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7</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教育学</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向华</w:t>
            </w:r>
          </w:p>
        </w:tc>
      </w:tr>
      <w:tr w:rsidR="00034E7A" w:rsidRPr="008129D5" w:rsidTr="00A86749">
        <w:trPr>
          <w:trHeight w:val="510"/>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8</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高级语言程学设计（</w:t>
            </w:r>
            <w:r w:rsidRPr="008129D5">
              <w:rPr>
                <w:rFonts w:ascii="仿宋_GB2312" w:hAnsi="仿宋_GB2312" w:cs="宋体" w:hint="eastAsia"/>
                <w:color w:val="000000"/>
                <w:kern w:val="0"/>
                <w:sz w:val="28"/>
                <w:szCs w:val="28"/>
              </w:rPr>
              <w:t>C</w:t>
            </w:r>
            <w:r w:rsidRPr="008129D5">
              <w:rPr>
                <w:rFonts w:ascii="仿宋_GB2312" w:hAnsi="仿宋_GB2312" w:cs="宋体" w:hint="eastAsia"/>
                <w:color w:val="000000"/>
                <w:kern w:val="0"/>
                <w:sz w:val="28"/>
                <w:szCs w:val="28"/>
              </w:rPr>
              <w:t>）</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李向军</w:t>
            </w:r>
          </w:p>
        </w:tc>
      </w:tr>
      <w:tr w:rsidR="00034E7A" w:rsidRPr="008129D5" w:rsidTr="00A86749">
        <w:trPr>
          <w:trHeight w:val="570"/>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9</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当代中国纪检监察概论</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杨永庚</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10</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设计概论</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吴勘</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11</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中外廉政制度比较</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贺文华</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12</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钢琴实用教材</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王娟</w:t>
            </w:r>
          </w:p>
        </w:tc>
      </w:tr>
      <w:tr w:rsidR="00034E7A" w:rsidRPr="008129D5" w:rsidTr="00A86749">
        <w:trPr>
          <w:trHeight w:val="499"/>
        </w:trPr>
        <w:tc>
          <w:tcPr>
            <w:tcW w:w="108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13</w:t>
            </w:r>
          </w:p>
        </w:tc>
        <w:tc>
          <w:tcPr>
            <w:tcW w:w="450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大学信息技术基础</w:t>
            </w:r>
            <w:r>
              <w:rPr>
                <w:rFonts w:ascii="仿宋_GB2312" w:hAnsi="仿宋_GB2312" w:cs="宋体" w:hint="eastAsia"/>
                <w:color w:val="000000"/>
                <w:kern w:val="0"/>
                <w:sz w:val="28"/>
                <w:szCs w:val="28"/>
              </w:rPr>
              <w:t>》</w:t>
            </w:r>
          </w:p>
        </w:tc>
        <w:tc>
          <w:tcPr>
            <w:tcW w:w="3060" w:type="dxa"/>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张岗亭</w:t>
            </w:r>
          </w:p>
        </w:tc>
      </w:tr>
      <w:tr w:rsidR="00034E7A" w:rsidRPr="008129D5" w:rsidTr="00A86749">
        <w:trPr>
          <w:trHeight w:val="499"/>
        </w:trPr>
        <w:tc>
          <w:tcPr>
            <w:tcW w:w="1080" w:type="dxa"/>
            <w:tcBorders>
              <w:bottom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14</w:t>
            </w:r>
          </w:p>
        </w:tc>
        <w:tc>
          <w:tcPr>
            <w:tcW w:w="4500" w:type="dxa"/>
            <w:tcBorders>
              <w:bottom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行政监察法</w:t>
            </w:r>
            <w:r>
              <w:rPr>
                <w:rFonts w:ascii="仿宋_GB2312" w:hAnsi="仿宋_GB2312" w:cs="宋体" w:hint="eastAsia"/>
                <w:color w:val="000000"/>
                <w:kern w:val="0"/>
                <w:sz w:val="28"/>
                <w:szCs w:val="28"/>
              </w:rPr>
              <w:t>》</w:t>
            </w:r>
          </w:p>
        </w:tc>
        <w:tc>
          <w:tcPr>
            <w:tcW w:w="3060" w:type="dxa"/>
            <w:tcBorders>
              <w:bottom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钱晓萍</w:t>
            </w:r>
          </w:p>
        </w:tc>
      </w:tr>
      <w:tr w:rsidR="00034E7A" w:rsidRPr="008129D5" w:rsidTr="00A86749">
        <w:trPr>
          <w:trHeight w:val="499"/>
        </w:trPr>
        <w:tc>
          <w:tcPr>
            <w:tcW w:w="1080" w:type="dxa"/>
            <w:tcBorders>
              <w:top w:val="single" w:sz="4" w:space="0" w:color="auto"/>
              <w:bottom w:val="single" w:sz="4" w:space="0" w:color="auto"/>
              <w:right w:val="nil"/>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15</w:t>
            </w:r>
          </w:p>
        </w:tc>
        <w:tc>
          <w:tcPr>
            <w:tcW w:w="4500" w:type="dxa"/>
            <w:tcBorders>
              <w:top w:val="single" w:sz="4" w:space="0" w:color="auto"/>
              <w:bottom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Pr>
                <w:rFonts w:ascii="仿宋_GB2312" w:hAnsi="仿宋_GB2312" w:cs="宋体" w:hint="eastAsia"/>
                <w:color w:val="000000"/>
                <w:kern w:val="0"/>
                <w:sz w:val="28"/>
                <w:szCs w:val="28"/>
              </w:rPr>
              <w:t>《</w:t>
            </w:r>
            <w:r w:rsidRPr="008129D5">
              <w:rPr>
                <w:rFonts w:ascii="仿宋_GB2312" w:hAnsi="仿宋_GB2312" w:cs="宋体" w:hint="eastAsia"/>
                <w:color w:val="000000"/>
                <w:kern w:val="0"/>
                <w:sz w:val="28"/>
                <w:szCs w:val="28"/>
              </w:rPr>
              <w:t>廉政文化概论</w:t>
            </w:r>
            <w:r>
              <w:rPr>
                <w:rFonts w:ascii="仿宋_GB2312" w:hAnsi="仿宋_GB2312" w:cs="宋体" w:hint="eastAsia"/>
                <w:color w:val="000000"/>
                <w:kern w:val="0"/>
                <w:sz w:val="28"/>
                <w:szCs w:val="28"/>
              </w:rPr>
              <w:t>》</w:t>
            </w:r>
          </w:p>
        </w:tc>
        <w:tc>
          <w:tcPr>
            <w:tcW w:w="3060" w:type="dxa"/>
            <w:tcBorders>
              <w:top w:val="single" w:sz="4" w:space="0" w:color="auto"/>
              <w:bottom w:val="single" w:sz="4" w:space="0" w:color="auto"/>
            </w:tcBorders>
            <w:shd w:val="clear" w:color="auto" w:fill="auto"/>
            <w:vAlign w:val="center"/>
          </w:tcPr>
          <w:p w:rsidR="00034E7A" w:rsidRPr="008129D5" w:rsidRDefault="00034E7A" w:rsidP="00A86749">
            <w:pPr>
              <w:widowControl/>
              <w:snapToGrid w:val="0"/>
              <w:spacing w:line="540" w:lineRule="atLeast"/>
              <w:jc w:val="center"/>
              <w:rPr>
                <w:rFonts w:ascii="仿宋_GB2312" w:hAnsi="仿宋_GB2312" w:cs="宋体"/>
                <w:color w:val="000000"/>
                <w:kern w:val="0"/>
                <w:sz w:val="28"/>
                <w:szCs w:val="28"/>
              </w:rPr>
            </w:pPr>
            <w:r w:rsidRPr="008129D5">
              <w:rPr>
                <w:rFonts w:ascii="仿宋_GB2312" w:hAnsi="仿宋_GB2312" w:cs="宋体" w:hint="eastAsia"/>
                <w:color w:val="000000"/>
                <w:kern w:val="0"/>
                <w:sz w:val="28"/>
                <w:szCs w:val="28"/>
              </w:rPr>
              <w:t>刘丽群</w:t>
            </w:r>
          </w:p>
        </w:tc>
      </w:tr>
    </w:tbl>
    <w:p w:rsidR="00034E7A" w:rsidRDefault="00034E7A" w:rsidP="00034E7A">
      <w:pPr>
        <w:widowControl/>
        <w:shd w:val="clear" w:color="auto" w:fill="FFFFFF"/>
        <w:spacing w:line="420" w:lineRule="atLeast"/>
        <w:ind w:left="5600" w:hangingChars="1750" w:hanging="5600"/>
        <w:jc w:val="left"/>
        <w:rPr>
          <w:rFonts w:ascii="仿宋_GB2312" w:eastAsia="仿宋_GB2312" w:hAnsi="仿宋_GB2312" w:cs="仿宋_GB2312"/>
          <w:color w:val="000000"/>
          <w:kern w:val="0"/>
          <w:sz w:val="32"/>
          <w:szCs w:val="32"/>
        </w:rPr>
      </w:pPr>
    </w:p>
    <w:p w:rsidR="00034E7A" w:rsidRDefault="00034E7A" w:rsidP="00034E7A">
      <w:pPr>
        <w:widowControl/>
        <w:shd w:val="clear" w:color="auto" w:fill="FFFFFF"/>
        <w:spacing w:line="420" w:lineRule="atLeast"/>
        <w:ind w:left="5600" w:hangingChars="1750" w:hanging="5600"/>
        <w:jc w:val="left"/>
        <w:rPr>
          <w:rFonts w:ascii="仿宋_GB2312" w:eastAsia="仿宋_GB2312" w:hAnsi="仿宋_GB2312" w:cs="仿宋_GB2312"/>
          <w:color w:val="000000"/>
          <w:kern w:val="0"/>
          <w:sz w:val="32"/>
          <w:szCs w:val="32"/>
        </w:rPr>
      </w:pPr>
    </w:p>
    <w:p w:rsidR="00034E7A" w:rsidRDefault="00034E7A" w:rsidP="00034E7A">
      <w:pPr>
        <w:widowControl/>
        <w:shd w:val="clear" w:color="auto" w:fill="FFFFFF"/>
        <w:spacing w:line="420" w:lineRule="atLeast"/>
        <w:ind w:left="5600" w:hangingChars="1750" w:hanging="5600"/>
        <w:jc w:val="left"/>
        <w:rPr>
          <w:rFonts w:ascii="仿宋_GB2312" w:eastAsia="仿宋_GB2312" w:hAnsi="仿宋_GB2312" w:cs="仿宋_GB2312"/>
          <w:color w:val="000000"/>
          <w:kern w:val="0"/>
          <w:sz w:val="32"/>
          <w:szCs w:val="32"/>
        </w:rPr>
      </w:pPr>
    </w:p>
    <w:p w:rsidR="00034E7A" w:rsidRDefault="00034E7A" w:rsidP="00034E7A">
      <w:pPr>
        <w:widowControl/>
        <w:shd w:val="clear" w:color="auto" w:fill="FFFFFF"/>
        <w:spacing w:line="420" w:lineRule="atLeast"/>
        <w:ind w:left="5600" w:hangingChars="1750" w:hanging="5600"/>
        <w:jc w:val="left"/>
        <w:rPr>
          <w:rFonts w:ascii="仿宋_GB2312" w:eastAsia="仿宋_GB2312" w:hAnsi="仿宋_GB2312" w:cs="仿宋_GB2312"/>
          <w:color w:val="000000"/>
          <w:kern w:val="0"/>
          <w:sz w:val="32"/>
          <w:szCs w:val="32"/>
        </w:rPr>
      </w:pPr>
    </w:p>
    <w:p w:rsidR="00034E7A" w:rsidRDefault="00034E7A" w:rsidP="00034E7A">
      <w:pPr>
        <w:widowControl/>
        <w:shd w:val="clear" w:color="auto" w:fill="FFFFFF"/>
        <w:spacing w:line="420" w:lineRule="atLeast"/>
        <w:ind w:left="5600" w:hangingChars="1750" w:hanging="5600"/>
        <w:jc w:val="left"/>
        <w:rPr>
          <w:rFonts w:ascii="仿宋_GB2312" w:eastAsia="仿宋_GB2312" w:hAnsi="仿宋_GB2312" w:cs="仿宋_GB2312"/>
          <w:color w:val="000000"/>
          <w:kern w:val="0"/>
          <w:sz w:val="32"/>
          <w:szCs w:val="32"/>
        </w:rPr>
      </w:pPr>
    </w:p>
    <w:p w:rsidR="00975523" w:rsidRDefault="00975523"/>
    <w:sectPr w:rsidR="009755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523" w:rsidRDefault="00975523" w:rsidP="00034E7A">
      <w:pPr>
        <w:ind w:firstLine="480"/>
      </w:pPr>
      <w:r>
        <w:separator/>
      </w:r>
    </w:p>
  </w:endnote>
  <w:endnote w:type="continuationSeparator" w:id="1">
    <w:p w:rsidR="00975523" w:rsidRDefault="00975523" w:rsidP="00034E7A">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523" w:rsidRDefault="00975523" w:rsidP="00034E7A">
      <w:pPr>
        <w:ind w:firstLine="480"/>
      </w:pPr>
      <w:r>
        <w:separator/>
      </w:r>
    </w:p>
  </w:footnote>
  <w:footnote w:type="continuationSeparator" w:id="1">
    <w:p w:rsidR="00975523" w:rsidRDefault="00975523" w:rsidP="00034E7A">
      <w:pPr>
        <w:ind w:firstLine="48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4E7A"/>
    <w:rsid w:val="00034E7A"/>
    <w:rsid w:val="00975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E7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34E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34E7A"/>
    <w:rPr>
      <w:sz w:val="18"/>
      <w:szCs w:val="18"/>
    </w:rPr>
  </w:style>
  <w:style w:type="paragraph" w:styleId="a4">
    <w:name w:val="footer"/>
    <w:basedOn w:val="a"/>
    <w:link w:val="Char0"/>
    <w:uiPriority w:val="99"/>
    <w:semiHidden/>
    <w:unhideWhenUsed/>
    <w:rsid w:val="00034E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34E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709</Words>
  <Characters>4045</Characters>
  <Application>Microsoft Office Word</Application>
  <DocSecurity>0</DocSecurity>
  <Lines>33</Lines>
  <Paragraphs>9</Paragraphs>
  <ScaleCrop>false</ScaleCrop>
  <Company>Microsoft</Company>
  <LinksUpToDate>false</LinksUpToDate>
  <CharactersWithSpaces>4745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高婷婷</dc:creator>
  <cp:keywords/>
  <dc:description/>
  <cp:lastModifiedBy>高婷婷</cp:lastModifiedBy>
  <cp:revision>2</cp:revision>
  <dcterms:created xsi:type="dcterms:W3CDTF">2017-04-20T09:15:00Z</dcterms:created>
  <dcterms:modified xsi:type="dcterms:W3CDTF">2017-04-20T09:15:00Z</dcterms:modified>
</cp:coreProperties>
</file>